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5C" w:rsidRPr="0040395C" w:rsidRDefault="0040395C" w:rsidP="00802BD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>Приня</w:t>
      </w:r>
      <w:r w:rsidR="00802BD5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>ты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pacing w:val="-6"/>
          <w:kern w:val="36"/>
          <w:sz w:val="28"/>
          <w:szCs w:val="28"/>
          <w:lang w:eastAsia="ru-RU"/>
        </w:rPr>
        <w:t xml:space="preserve"> новые санитарные правила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1 января 2021 года образовательным организациям предстоит работать по новым правилам.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разработал документ, который заменяет 14 СанПиН для организаций, связанных с воспитанием, обучением и оздоровлением детей. Правила будут действовать 6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 санитарные правила действуют для всех организаций, которые ведут образовательную деятельность, оказывают услуги по присмотру и уходу, организуют массовые мероприятия с участием детей. В том числе документ регулирует работу лагерей, семейных групп детского сада, детских уголков в торговых центрах и других общественных местах, перевозку детей на ж/д транспорте.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Многие нормы повторятся из предыдущих СанПиН. Некоторые – стали общими для всех. Например, установили требования к перевозке дошкольников – такие же, как и для учеников. Запретили делать ремонт в присутствии детей. Ранее подобная норма была только в СанПиН детского сада.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Некоторые положения дублируют СанПиН общественного питания населения – требования к помещениям пищеблока, столовой, организации питьевого режима. При этом добавили, что площадь столовой должна быть такой, чтобы все ученики успели поесть за три перемены, а в новых зданиях – за две. При обеденном зале также надо установить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предотвратить возникновение и распространение заболеваний, образовательные организации должны помимо общих санитарных норм: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распределять детей на занятиях физкультурой в зависимости от медицинской группы;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вести документирование и контроль за занятиями по физкультуре;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 информацию о случаях заболеваний и обращений за медпомощью в семьях детей и работников.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Школам разрешили вводить вторую смену, если есть классы с углубленным изучением предметов. При этом ограничили ее продолжительность – до 19 часов вечера.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Установили минимальный срок каникул – 7 дней. До этого школы сами определяли их продолжительность.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Облегченными днями теперь должны быть среда или четверг, а не пятница – как было раньше. Между уроками и внеурочными занятиями теперь надо делать перерыв – 30 минут. Исключение предусмотрели только для детей с ОВЗ, если они занимаются по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Ввели отдельный пункт о дистанционном обучении и электронных средствах. Запретили использовать средства мобильной связи для обучения и применять больше двух электронных устройств одновременно. Также запретили использовать мониторы с электронно-лучевой трубкой. Если дети начальных классов работают с ноутбуком, должны подключать дополнительную клавиатуру.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 санитарные правила часто отсылают к гигиеническим нормативам. 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их принять, чтобы установить количественные показатели для условий обучения и воспитания детей. Например, нормативы должны установить требования к электронным средствам обучения и кабинетам информатики, книжной продукции и одежде учащихся, песку в песочницах, а также параметры микроклимата и уровни освещения.</w:t>
      </w:r>
    </w:p>
    <w:p w:rsidR="00D66645" w:rsidRDefault="0040395C" w:rsidP="00802BD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222222"/>
          <w:sz w:val="28"/>
          <w:szCs w:val="28"/>
        </w:rPr>
      </w:pPr>
      <w:r w:rsidRPr="0040395C">
        <w:rPr>
          <w:b/>
          <w:bCs/>
          <w:color w:val="222222"/>
          <w:sz w:val="28"/>
          <w:szCs w:val="28"/>
        </w:rPr>
        <w:br/>
      </w:r>
    </w:p>
    <w:p w:rsidR="00D66645" w:rsidRDefault="00D66645" w:rsidP="00802BD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222222"/>
          <w:sz w:val="28"/>
          <w:szCs w:val="28"/>
        </w:rPr>
      </w:pPr>
    </w:p>
    <w:p w:rsidR="0040395C" w:rsidRPr="0040395C" w:rsidRDefault="0040395C" w:rsidP="00802BD5">
      <w:pPr>
        <w:pStyle w:val="a3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bookmarkStart w:id="0" w:name="_GoBack"/>
      <w:bookmarkEnd w:id="0"/>
      <w:r w:rsidRPr="0040395C">
        <w:rPr>
          <w:b/>
          <w:bCs/>
          <w:color w:val="222222"/>
          <w:sz w:val="28"/>
          <w:szCs w:val="28"/>
        </w:rPr>
        <w:lastRenderedPageBreak/>
        <w:t>ГЛАВНЫЙ ГОСУДАРСТВЕННЫЙ САНИТАРНЫЙ ВРАЧ РФ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ПОСТАНОВЛЕНИЕ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 28 сентября 2020 года № 28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утверждении с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анитарных правил СП 2.4.3648-20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«</w:t>
      </w: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к организациям воспитания и обучения, отдыха и </w:t>
      </w:r>
      <w:r w:rsidR="00802B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оздоровления детей и молодежи»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со </w:t>
      </w:r>
      <w:hyperlink r:id="rId5" w:anchor="/document/99/901729631/XA00M9Q2NI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статьей 39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2019, № 30, ст. 4134) и </w:t>
      </w:r>
      <w:hyperlink r:id="rId6" w:anchor="/document/99/902042540/" w:history="1">
        <w:r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Правительства Российской Федерации от 24.07.2000 № 554</w:t>
        </w:r>
      </w:hyperlink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Положения о государственной санитар</w:t>
      </w:r>
      <w:r w:rsidR="00802B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но-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 2004, № 8, ст. 663; № 47, ст. 4666; 2005, № 39, ст. 3953) постановляю: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санитарные правила СП 2.4.3648-20 «Санитарно- эпидемиологические требования к организациям воспитания и обучения, отдыха и оздоровления детей и молодежи» (приложение).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Ввести в действие санитарные правила СП 2.4.3648-20 «Санитарно- эпидемиологические требования к организациям воспитания и обучения, отдыха и оздоровления детей и молодежи» с 01.01.2021.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Установить срок действия санитарных правил СП 2.4.3648-20 «Санитарно-эпидемиологические требования к организациям воспитания и обучения, отдыха и оздоровления детей и молодежи» до 01.01.2027.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Признать утратившими силу с 01.01.2021: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22180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20.11.2002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Санитарных правил и нормативов» (зарегистрировано Минюстом России 19.12.2002, регистрационный № 4046);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 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90226871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28.01.2003 № 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эпидемиологических правил и нормативов СанПиН 2.4.3.1186-03» (зарегистрировано Минюстом России 11.02.2003, регистрационный № 4204);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17.04.2003 № 51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эпидемиологических правил и нормативов СанПиН 2.4.7/1.1.1286-03» (зарегистрировано Минюстом России 05.05.2003, регистрационный № 4499);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03.06.2003 № 118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введении в действие санитарно- эпидемиологических правил и нормативов СанПиН 2.2.2/2.4.1340-03» (зарегистрировано Минюстом России 10.06.2003, регистрационный № 4673);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25.04.2007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2.2.2/2.4.2198-07» (зарегистрировано Минюстом России 07.06.2007, регистрационный № 9615);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/document/99/901729631/ZA01O363AB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28.04.2007 № 24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2.4.3.2201-07» (зарегистрировано Минюстом России 07.06.2007, регистрационный № 9610);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anchor="/document/99/901713538/XA00M7C2M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23.07.2008 № 45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2.4.5.2409-08» (зарегистрировано Минюстом России 07.08.2008, регистрационный № 12085);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anchor="/document/99/54261860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30.09.2009 № 58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2.4.6.2553-09» (зарегистрировано Минюстом России 05.11.2009, регистрационный № 15172);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anchor="/document/99/56494690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30.09.2009 № 59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2.4.3.2554-09» (зарегистрировано Минюстом России 06.11.2009, регистрационный № 15197);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anchor="/document/99/54264317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19.04.2010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2.4.4.2599-10» (зарегистрировано Минюстом России 26.05.2010, регистрационный № 17378);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7" w:anchor="/document/99/901729631/XA00MDM2NR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30.04.2010 № 48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2.2.2/2.4.2620-10» (зарегистрировано Минюстом России 07.06.2010, регистрационный № 17481);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8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28.06.2010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2.4.7/1.1.2651-10» (зарегистрировано Минюстом России 22.07.2010, регистрационный № 17944);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9" w:anchor="/document/99/902389617/XA00M7S2N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03.09.2010 № 116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2.2.2/2.4.2732-10 «Изменение № 3 к СанПиН 2.2.2/2.4.1340-03 «Гигиенические требования к персональным электронно-вычислительным машинам и организации работы» (зарегистрировано Минюстом России 18.10.2010, регистрационный № 18748);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0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29.12.2010 № 189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Минюстом России 03.03.2011, регистрационный № 19993);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1" w:anchor="/document/99/56648414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Российский Федерации от 04.03.2011 № 17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2.4.3.2841-11 «Изменения № 3 к СанПиН 2.4.3.1186-03 «Санитарно- 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 (зарегистрировано Минюстом России 29.03.2011, регистрационный № 20327);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2" w:anchor="/document/99/901729631/ZAP1UE438K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 от 18.03.2011 № 22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2.4.2.2842-11 «Санитарно-эпидемиологические требования к устройству, содержанию и организации работы лагерей труда и отдыха для подростков» (зарегистрировано Минюстом России 24.03.2011, регистрационный № 20277);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anchor="/document/99/902389617/ZA00MAI2N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29.06.2011 № 85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2.4.2.2883-11 «Изменения № 1 к СанПиН 2.4.2.2821-10 «Санитарно- эпидемиологические требования к условиям и организации обучения в общеобразовательных учреждениях» (зарегистрировано Минюстом России 15.12.2011, регистрационный № 22637);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4" w:anchor="/document/99/54262043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18.03.2011 № 21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2.4.2.2843-11 «Санитарно-эпидемиологические требования к устройству, содержанию и организации работы дет</w:t>
      </w:r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ских санаториев» (зарегистрировано Минюстом России 24.03.2011, регистрационный № 20279);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5" w:anchor="/document/99/901729631/XA00M9U2ND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14.05.2013 № 25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2.4.4.3048-13 «Санитарно-эпидемиологические требования к устройству и организации работы детских лагерей палаточного типа» (зарегистрировано Минюстом России 29.05.2013, регистрационный № 28563);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6" w:anchor="/document/99/4990235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15.05.2013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29.05.2013, регистрационный № 28564);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7" w:anchor="/document/99/49906652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19.12.2013 № 68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2.4.1.3147-13 «Санитарно-эпидемиологические требования к дошкольным группам, размещенным в жилых помещениях жилищного фонда» (зарегистрировано Минюстом России 03.02.2014, регистрационный №31209);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8" w:anchor="/document/99/499070814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25.12.2013 № 72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2 в СанПиН 2.4.2.2821-10 «Санитарно-эпидемиологические требования к условиям и организации обучения в общеобразовательных учреждениях» (зарегистрировано Минюстом России 27.03.2014, регистрационный № 31751);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9" w:anchor="/document/99/49907121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27.12.2013 № 73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(зарегистрировано Минюстом России 18.04.2014, регистрационный № 32024);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0" w:anchor="/document/99/420207400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04.07.2014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(зарегистрировано Минюстом России 20.08.2014, регистрационный № 33660);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1" w:anchor="/document/99/4202383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02.12.2014 № 78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признании утратившим силу пункта 2.2 СанПиН 2.4.7.1166-02 «Гигиенические требования к изданиям учебным для общего и начального профессионального образования» (зарегистрировано Минюстом России 11.12.2014, регистрационный № 35144);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2" w:anchor="/document/99/420253581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09.02.2015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2.4.3259- 15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 (зарегистрировано Минюстом России 26.03.2015, регистрационный № 36571);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3" w:anchor="/document/99/420292122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20.07.2015 № 28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03.08.2015 регистрационный № 38312);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4" w:anchor="/document/99/420292638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10.07.2015 № 26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14.08.2015, регистрационный № 38528);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5" w:anchor="/document/99/420300289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27.08.2015 № 41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04.09.2015, регистрационный № 38824);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6" w:anchor="/document/99/4203244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24.11.2015 № 81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№ 3 в СанПиН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Минюстом России 18.12.2015, регистрационный № 40154);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7" w:anchor="/document/99/420295393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14.08.2015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2.4.1.3147-13 «Санитарно-эпидемиологические требования к дошкольным группам, размещенным в жилых помещениях жилищного фонда» (зарегистрировано Минюстом России 19.08.2015, регистрационный № 38591);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8" w:anchor="/document/99/45605492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22.03.2017 № 38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СанПиН 2.4.4.2599-10, СанПиН 2.4.4.3155-13, СанПиН 2.4.4.3048-13, СанПиН 2.4.2.2842-11» (зарегистрировано Минюстом России 11.04.2017, регистрационный № 46337);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39" w:anchor="/document/99/554125866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25.03.2019 № 6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постановление Главного государственного санитарного врача Российской Федерации от 23.07.2008 № 45 «Об утверждении СанПиН 2.4.5.2409-08» (зарегистрировано Минюстом России 08.04.2019, регистрационный № 54310);</w:t>
      </w:r>
    </w:p>
    <w:p w:rsidR="0040395C" w:rsidRPr="0040395C" w:rsidRDefault="00D66645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0" w:anchor="/document/99/554692827/" w:history="1">
        <w:r w:rsidR="0040395C" w:rsidRPr="0040395C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 Главного государственного санитарного врача Российской Федерации от 22.05.2019 № 8</w:t>
        </w:r>
      </w:hyperlink>
      <w:r w:rsidR="0040395C"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санитарно- 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 (зарегистрировано Минюстом России 28.05.2019, регистрационный № 54764).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А.Ю. Попова</w:t>
      </w:r>
    </w:p>
    <w:p w:rsidR="00802BD5" w:rsidRPr="0040395C" w:rsidRDefault="00802BD5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Зарегистрировано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Министерстве юстиции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18 декабря 2020 года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регистрационный № 61573</w:t>
      </w:r>
    </w:p>
    <w:p w:rsidR="0040395C" w:rsidRDefault="0040395C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УТВЕРЖДЕНЫ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постановлением Главного государственного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санитарного врача Российской Федерации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28 сентября 2020 года № 28</w:t>
      </w:r>
    </w:p>
    <w:p w:rsidR="002F6449" w:rsidRPr="0040395C" w:rsidRDefault="002F6449" w:rsidP="00802B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САНИТАРНЫЕ ПРАВИЛА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САНИТАРНО-ЭПИДЕМИОЛОГИЧЕСКИЕ ТРЕБОВАНИЯ </w:t>
      </w:r>
    </w:p>
    <w:p w:rsidR="00802BD5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 ОРГАНИЗАЦИЯМ ВОСПИТАНИЯ И ОБУЧЕНИЯ, ОТДЫХА 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ОЗДОРОВЛЕНИЯ ДЕТЕЙ И МОЛОДЕЖИ</w:t>
      </w:r>
    </w:p>
    <w:p w:rsidR="0040395C" w:rsidRPr="0040395C" w:rsidRDefault="0040395C" w:rsidP="00802B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 2.4.3648-20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Область применения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 пунктом 1.1 Правил (далее - Хозяйствующие субъекты).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не распространяются на проведение экскурсионных мероприятий и организованных походов.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 пунктом 1.1 Правил (далее - объекты), должны соблюдаться требования Правил, установленные пунктами 2.1.1, 2.1.2 (абзацы первый, второй, четвертый, пятый), 2.1.3, 2.2.1 (абзацы первый - четвертый), 2.2.2 (абзацы первый и четвертый), 2.2.3 (абзацы первый и третий), 2.2.5, 2.2.6, 2.3.1, 2.3.2 (абзацы первый и третий), 2.3.3, 2.4.1, 2.4.2, 2.4.3 (абзацы первый, третий, четвертый, седьмой), 2.4.6 (абзацы первый, одиннадцатый - четырнадцатый), 2.4.7, 2.4.8 (абзацы первый и второй), 2.4.9, 2.4.10, 2.4.11 (абзацы первый, второй, пятый), 2.4.12 (абзац первый), 2.4.13, 2.4.14, 2.5.1, 2.5.3 (абзацы второй и третий), 2.5.4, 2.6.1, 2.6.5, 2.7.1 (абзацы первый и второй), 2.7.2, 2.7.4 (абзацы первый и второй), 2.8.1, 2.8.2 (абзацы первый и 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3.1.1 (абзац первый), 3.1.2 (абзацы первый - четвертый), 3.1.3 (абзацы первый - седьмой, девятый, десятый), 3.1.7 (абзацы первый, второй, четвертый, шестой), 3.1.11 (абзацы первый - четвертый, 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3.2.1 (абзац первый и 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пунктами 3.3.1 (абзац первый и второй), 3.3.3 - в отношении детских игровых комнат, размещаемым в торгово-развлекательных и культурно- досуговых центрах, павильонах, аэропортах, железнодорожных вокзалах и иных объектах нежилого назначения,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3.4.1 (абзац первый), 3.4.2, 3.4.3 (абзацы первый - третий), 3.4.4, 3.4.5, 3.4.9 - 3.4.13, 3.4.14 (абзацы первый - четвертый, 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организаций^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3.7.2, 3.7.4, 3.7.5 - в отношении организаций для детей-сирот и детей, оставшихся без попечения родителей;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3.8.1 - 3.8.4 - в отношении организаций социального обслуживания семьи и детей,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3.9.1, 3.9.2 (абзацы первый и второй), 3.9.3 (абзацы первый, второй, четвертый, шестой), 3.9.4 - в отношении профессиональных образовательных организаций,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3.10.1, 3.10.2 - в отношении образовательных организаций высшего образования,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1 </w:t>
      </w:r>
      <w:hyperlink r:id="rId41" w:anchor="/document/99/901729631/ZA01O363AB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40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2003, № 2, ст. 167; 2007, № 46, ст. 5554; 2009, № 1, ст. 17; 2011, № 30 (ч. 1), ст. 4596; 2015, № 1 (часть I), ст. 11) и </w:t>
      </w:r>
      <w:hyperlink r:id="rId42" w:anchor="/document/99/901713538/XA00M7C2MK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пункт 2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статьи 12 Федеральный закон от 24.07.1998 № 124-ФЗ «Об основных гарантиях прав ребенка в Российской Федерации» (Собрание законодательства Российской Федерации, 1998, № 31, ст. 3802; 2019, № 42 (часть II), ст. 5801);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цинации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3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иметь личную медицинскую книжку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4</w:t>
      </w:r>
      <w:r w:rsidRPr="002F64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40395C" w:rsidRPr="002F6449" w:rsidRDefault="0040395C" w:rsidP="002F64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2 </w:t>
      </w:r>
      <w:hyperlink r:id="rId43" w:anchor="/document/99/90227519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Приказ </w:t>
        </w:r>
        <w:proofErr w:type="spellStart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Минздравсоцразвития</w:t>
        </w:r>
        <w:proofErr w:type="spellEnd"/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 xml:space="preserve"> России от 12.04.2011 № 302н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(Зарегистрировано Минюстом России 21.10.2011 N 22111) (зарегистрирован Минюстом России 21.10.2011, регистрационный № 22111), с изменениями, внесенными </w:t>
      </w:r>
      <w:hyperlink r:id="rId44" w:anchor="/document/99/49902227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15.05.2013 № 296н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03.07.2013, регистрационный № 28970), </w:t>
      </w:r>
      <w:hyperlink r:id="rId45" w:anchor="/document/99/42024004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05.12.2014 № 801н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03.02.2015, регистрационный № 35848), от 13.12.2019 № Ю32н (зарегистрирован Минюстом России 24.12.2019, регистрационный № 56976), </w:t>
      </w:r>
      <w:hyperlink r:id="rId46" w:anchor="/document/99/542618607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Минтруда России и Минздрава России от 06.02.2018 № 62н/49н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02.03.2018, регистрационный № 50237) и </w:t>
      </w:r>
      <w:hyperlink r:id="rId47" w:anchor="/document/99/564859732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03.04.2020 № 187н/268н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12.05.2020, регистрационный № 58320), </w:t>
      </w:r>
      <w:hyperlink r:id="rId48" w:anchor="/document/99/564946908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18.05.2020 № 455н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22.05.2020 № 58430);</w:t>
      </w: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3 </w:t>
      </w:r>
      <w:hyperlink r:id="rId49" w:anchor="/document/99/49908621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 Минздрава России от 21.03.2014 № 125н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национального календаря профилактических прививок и календаря профилактических прививок по эпидемическим показаниям» (зарегистрировано Минюстом России 25.04.2014 N 32115) (зарегистрирован Минюстом России 25.04.2014, регистрационный № 32115), с изменениями, внесенными </w:t>
      </w:r>
      <w:hyperlink r:id="rId50" w:anchor="/document/99/420364023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от 16.06.2016 № 370н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04.07.2016, регистрационный № 42728), </w:t>
      </w:r>
      <w:hyperlink r:id="rId51" w:anchor="/document/99/456064369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13.004.2017 № 175н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17.05.2017, регистрационный № 46745), </w:t>
      </w:r>
      <w:hyperlink r:id="rId52" w:anchor="/document/99/542643174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19.02.2019 № 69н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19.03.2019, регистрационный № 54089), </w:t>
      </w:r>
      <w:hyperlink r:id="rId53" w:anchor="/document/99/554691475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от 24.04.2019 № 243н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15.07.2019, регистрационный № 55249);</w:t>
      </w:r>
    </w:p>
    <w:p w:rsidR="0040395C" w:rsidRPr="002F6449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F6449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4 </w:t>
      </w:r>
      <w:hyperlink r:id="rId54" w:anchor="/document/99/901729631/XA00MDM2NR/" w:history="1">
        <w:r w:rsidRPr="002F6449">
          <w:rPr>
            <w:rFonts w:ascii="Times New Roman" w:eastAsia="Times New Roman" w:hAnsi="Times New Roman" w:cs="Times New Roman"/>
            <w:color w:val="01745C"/>
            <w:lang w:eastAsia="ru-RU"/>
          </w:rPr>
          <w:t>Статья 34</w:t>
        </w:r>
      </w:hyperlink>
      <w:r w:rsidRPr="002F6449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3607; 2011, № 1 ст.6; № 30 (ч. 1), ст. 4590; 2013, № 48, ст. 6165)</w:t>
      </w:r>
    </w:p>
    <w:p w:rsidR="002F6449" w:rsidRDefault="002F6449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1.7. Проведение всех видов ремонтных работ в присутствии детей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надзор, и обеспечивает проведение санитарно- противоэпидемических (профилактических) мероприятий.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 Общие требования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При размещении объектов хозяйствующим субъектом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На территории хозяйствующего субъекта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застройки допускается снижение озеленения не более чем на 25% площади собственной территории, свободной от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не должно быть плодоносящих ядовитыми плодами деревьев и кустарников.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площадке устанавливаются контейнеры (мусоросборники) закрывающимися крышками.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2.2.4. Покрытие проездов, подходов и дорожек на собственной территории не должно иметь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5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0395C" w:rsidRDefault="0040395C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3399A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5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5" w:anchor="/document/99/902389617/XA00M7S2N3/" w:history="1">
        <w:r w:rsidRPr="0033399A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t xml:space="preserve"> статьи 41 Федерального закона от 29.12.2012 № 273-ФЗ «Об образовании в Российской Федерации» </w:t>
      </w:r>
      <w:r w:rsidRPr="0033399A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(Собрание законодательства Российской Федерации, 31.12.2012, № 53 (ч. 1), ст. 7598; 2016, № 27 (часть II), ст. 4246)</w:t>
      </w:r>
    </w:p>
    <w:p w:rsidR="0033399A" w:rsidRPr="0033399A" w:rsidRDefault="0033399A" w:rsidP="00333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В объектах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2.4.1. Входы в здания оборудуются тамбурами или воздушно-тепловыми завесами если иное не определено главой III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2.4.2. Количество обучающихся, воспитанников и отдыхающих не должно превышать установленное пунктами 3.1.1, 3.4.14 Правил и гигиенические нормативы.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6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6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ТР ТС 025/2012 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 (Официальный сайт Комиссии Таможенного союза http://www.tsouz.ru/, 18.06.2012) (далее - TP ТС 025/2012)</w:t>
      </w:r>
    </w:p>
    <w:p w:rsidR="0033399A" w:rsidRPr="00802BD5" w:rsidRDefault="0033399A" w:rsidP="00802BD5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 рассаживают с учетом роста, наличия заболеваний органов дыхания, слуха и зрения.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TP ТС 025/2012.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2.4.4. Помещения, предназначенные для организации учебного процесса, оборудуются классными досками.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Интерактивная доска должна быть расположена по центру фронтальной стены классного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 эпидемиологическому надзору (контролю)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7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7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Утверждены </w:t>
      </w:r>
      <w:hyperlink r:id="rId56" w:anchor="/document/99/902227557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решением Комиссии Таможенного союза от 28.05.2010 № 299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 применении санитарных мер в таможенном союзе» (Официальный сайт Комиссии Таможенного союза http://www.tsouz.ru/, 28.06.2010) (далее - Единые санитарные требования)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 При организации питания хозяйствующими субъектами должны соблюдаться следующие требования.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мясо-рыбный</w:t>
      </w:r>
      <w:proofErr w:type="gram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цех, цех первичной обработки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порционирования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блюд, должен иметь мерную метку объема в литрах и (или) миллилитрах.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наматрасником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комплектов постельного белья,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наматрасников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 3 до 7 лет -16,0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для детей старше 7 лет - не менее 0,1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должно гигиеническим нормативам, быть исправным и без дефектов.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8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____________________________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8 </w:t>
      </w:r>
      <w:hyperlink r:id="rId57" w:anchor="/document/99/902389617/XA00M7S2N3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Часть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статьи 41 Федерального закона от 29.12.2012 № 273-ФЗ «Об образовании в Российской Федерации» (Собрание законодательства Российской Федерации, 31.12.2012, № 53, ст. 7598; 2016, № 27, ст. 4246)</w:t>
      </w:r>
    </w:p>
    <w:p w:rsidR="0033399A" w:rsidRPr="00802BD5" w:rsidRDefault="0033399A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(места) для стирки белья и гладильные оборудуются отдельно.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При отделке объектов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повышенной влажностью воздуха потолки должны быть влагостойкими.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2.6.3. Горячая и холодная вода должна подаваться через смесители.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ванная в емкости и поставляемая в хозяйствующие субъекты, должна иметь документы об оценке (подтверждения)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Микроклимат, отопление и вентиляция в объектах должны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переносных отопительных приборов с инфракрасным 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 досуговых центрах, павильонах, аэропортах, железнодорожных вокзалах и иных объектах нежилого назначения).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Проветривание в присутствии детей не проводится.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 группа помещений (производственные, складские, санитарно- бытовые) оборудуется раздельными системами приточно-вытяжной вентиляции с механическим и (или) естественным побуждением.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Ограждения из древесно-стружечных плит к использованию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Естественное и искусственное освежение в объектах должны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оборудуется правосторонний подсвет со стороны стены противоположной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светонесущей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высота которого должна быть не менее 2,2 м от пола.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эксплуатация без естественного освещения следующих помещений: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Помещений для спортивных снарядов (далее -снарядные), умывальных, душевых, туалетов при гимнастическом (или спортивном) зале, душевых и туалетов для персонала, кладовых и складских помещений, радиоузлов, кино- фото- лабораторий, кинозалов, книгохранилищ, бойлерных, насосных водопровода и канализации, камер вентиляционных, камер кондиционирования воздуха, узлов управления и других помещений для установки и управления инженерным и технологическим оборудованием зданий, помещений для хранения и обработки уборочного инвентаря, помещений для хранения и разведения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в одном помещении использовать разные типы лам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п, а также лампы с разным свето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излучением.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</w:t>
      </w:r>
      <w:r w:rsidR="003339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проницаему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9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9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58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3607)</w:t>
      </w:r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обработок и контроль за их проведением;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10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0395C" w:rsidRPr="00802BD5" w:rsidRDefault="0040395C" w:rsidP="000B1ED6">
      <w:pPr>
        <w:spacing w:after="0" w:line="200" w:lineRule="exact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10 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Пункт 7 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</w:t>
      </w:r>
      <w:hyperlink r:id="rId59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приложение № 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(ГТО)», утвержденному </w:t>
      </w:r>
      <w:hyperlink r:id="rId60" w:anchor="/document/99/56648414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23.10.2020 № 1144н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03.12.2020, регистрационный № 61238).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по формированию здорового образа жизни и реализация технологий сбережения здоровья;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соблюдением правил личной гигиены;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гименолепидоза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выявленные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инвазированные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регистрируются в журнале для 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паразитологические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показатели.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помывки в душе предоставляется ежедневно.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с использованием ЭСО в возрастных группах до 5 лет не проводятся.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 строительных и отделочных работ, подъему и переносу тяжестей.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сжигание мусора на собственной территории, в том числе в мусоросборниках.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2.11.2. Все помещения подлежат ежедневной влажной уборке с применением моющих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Стулья,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в специально выделенных, промаркированных емкостях.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Пенолатексные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ворсованные игрушки и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мягконабивные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игрушки обрабатываются согласно инструкции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обучения в несколько смен, уборка проводиться по окончании каждой смены.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Уборка помещений интерната при общеобразовательной организации проводится не реже 1 раза в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технических целей в туалетных помещениях устанавливается отдельный водопроводный кран.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0B1ED6" w:rsidRPr="0040395C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737EA" w:rsidRDefault="003737EA" w:rsidP="000B1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737EA" w:rsidRDefault="003737EA" w:rsidP="000B1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40395C" w:rsidRPr="0040395C" w:rsidRDefault="0040395C" w:rsidP="000B1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III. Требования в отношении отдельных видов осуществляемой хозяйствующими субъектами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 раннего возраста (до 3 лет) 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ребенка и для групп дошкольного возраста (от 3 до 7 лет) - не менее 2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ребенка, для детей от 3 до 7 лет - не менее 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ребенка. Физкультурный зал для детей дошкольного возраста должен быть не менее 75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фонетико-фонематическими нарушениями речи - 12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глухих детей - 6 детей для обеих возрастных групп, для слабослышащих детей - 6 детей в возрасте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слепых детей - 6 детей для обеих возрастных групп, для слабовидящих детей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косоглазием - 6 детей в возрасте до 3 лет и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задержкой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психоречевого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легкой степени - 10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умственной отсталостью умеренной, тяжелой степени - 8 детей в возрасте старше 3 лет,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 расстройствами аутистического спектра - 5 детей для обеих возрастных групп,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в группах комбинированной направленности не должно превышать: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возрасте до 3 лет - не более 10 детей, в том числе не более 3 детей с ограниченными возможностями здоровья; в возрасте старше 3 лет, в том числе: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амблиопией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ребенка, но не менее 20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установка на прогулочной площадке сборно-разборных навесов, беседок.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 бытового назначения.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игровых для детей раннего возраста устанавливают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пеленальные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столы и столики, манеж с покрытием из материалов, позволяющих проводить влажную обработку и дезинфекцию.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3.1.6. Расстановка кроватей должна обеспечивать свободный проход детей между ними.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кроватей должно соответствовать общему количеству детей, находящихся в группе.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горшки маркируются по общему количеству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использование детского туалета персоналом.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3.1.10. Допускается доставка готовых блюд из других организаций в соответствии с пунктом 1.9 Правил. Доставка готовых блюд должна осуществляться в изотермической таре.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совмещение в одном помещении туалета и умывальной комнаты.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просушивание белья, одежды и обуви в игровой комнате, спальне, кухне.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Детям должен быть обеспечен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3.2.2. Помещения оборудуются вешалками для верхней одежды, полками для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3.2.4. В помещениях предусматривается естественное и (или) искусственное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 пункта 3.1.11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туалетов, расположенных в торгово- 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 обеспечивается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3.3.3. В игровых комнатах предусматривается естественное и (или) искусственное освещение.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Для выполнения рабочих программ учебного предмета «Физическая культура»,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3.4.3. Для всех обучающихся должны быть созданы условия для организации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3.4.5. В гардеробах оборудуют места для каждого класса., исходя из площади не менее 0,15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шумоизоляционные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обеспечивающие нормируемые уровни шума в смежных помещениях.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душевых -12,0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оборудуется отдельный санузел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5-11 классов необходимо оборудовать комнату (кабину) личной гигиены девочек площадью не менее 3,0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 хозяйственные помещения, санузлы.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3.4.12. В учебных кабинетах обеспечивается боковое левостороннее естественное освещение за исключением случаев, указанных в абзаце 2 пункта 2.8.2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 пункте 3.1.1 Правил категории обучающихся.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2,5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фронтальных формах занятий;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менее 3,5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одного обучающегося при организации групповых форм работы и индивидуальных занятий.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 для глухих обучающихся - 6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слабослышащих и позднооглохших обучающихся с глубоким недоразвитием речи, обусловленным нарушением слуха, - 6 человек, для слепых обучающихся - 8 человек, для слабовидящих обучающихся - 12 человек, для обучающихся с тяжелыми нарушениями речи - 12 человек, для обучающихся с нарушениями опорно-двигательного аппарата - 10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-12 человек,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11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0395C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11 </w:t>
      </w:r>
      <w:hyperlink r:id="rId61" w:anchor="/document/99/901729631/ZAP1UE438K/" w:tooltip="Статья 28. Санитарно-эпидемиологические требования к условиям отдыха и оздоровления детей, их воспитания и обучения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28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2011, № 30, ст. 4596; 2012, № 24, ст. 3069; 2013, № 27, ст. 3477) и </w:t>
      </w:r>
      <w:hyperlink r:id="rId62" w:anchor="/document/99/902389617/ZA00MAI2N8/" w:tooltip="Статья 11. Федеральные государственные образовательные стандарты и федеральные государственные требования. Образовательные стандарты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11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29.12.2012 № 273-ФЗ «Об образовании в Российской Федерации» (Собрание законодательства РФ", 31.12.2012, № 53, ст. 7598; 2019, № 49, ст. 6962)</w:t>
      </w:r>
    </w:p>
    <w:p w:rsidR="000B1ED6" w:rsidRPr="00802BD5" w:rsidRDefault="000B1ED6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 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5-6 классов - не более 6 уроков, для обучающихся 7-11 классов - не более 7 уроков.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1 классе осуществляется с соблюдением следующих требований: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занятия проводятся по 5-дневной учебной неделе и только в первую смену,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учебного дня организуется динамическая пауза продолжительностью не менее 40 минут,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Продолжительность перемены между урочной и внеурочной деятельностью должна составлять не менее 30 минут, за исключением обучающихся с ограниченными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возможностями здоровья, обучение которых осуществляется по специальной индивидуальной программе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предметам по выбору участников ЕГЭ допускается их проведение через день.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ожидания начала экзамена в классах не должно превышать 30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3.5.3. Для образовательных целей мобильные средства связи не используются.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3.5.4. Использование ноутбуков обучающимися начальных классов возможно при наличии дополнительной клавиатуры.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3.5.5. Оконные проемы в помещениях, где используются ЭСО, должны быть оборудованы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светорегулируемыми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устройствами.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3.5.6. Линейные размеры (диагональ) экрана ЭСО должны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3.5.8. Шрифтовое оформление электронных учебных изданий должно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 В организациях дополнительного образования и физкультурно- спортивных организациях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организациях с количеством до 20 человек допустимо оборудование одного туалета.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персонала выделяется отдельный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Мастерские, лаборатории оборудуются умывальными раковинами, кладовыми (шкафами).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3.6.3. Состав помещений физкультурно-спортивных организаций определяется видом 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оборудуются скамьями и шкафчиками (вешалками), устройствами для сушки волос.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хранится в помещениях снарядных при спортивных залах.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 пункта 3.1. Правил, образовательных программ начального общего, основного общего и среднего общего образования - в соответствии с требованиями пункта 3.3. 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3.7.3. Раздевальное помещение (прихожая) оборудуется шкафами для раздельного хранения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3.7.4. В каждой группе должны быть обеспечены условия для просушивания верхней одежды и обуви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 В учреждениях социального обслуживания семьи и детей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 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 бытовых помещений (санитарный узел, душевая (ванная) комната).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1 койку.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Раздевалки размещаются на первом или цокольном этаже.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3.9. В профессиональных образовательных организациях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 пункту 3.4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общепрофильного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профессионального циклов, а также помещения по профилю обучения.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 точильных) и оборудоваться предохранительными сетками, стеклами и местным освещением.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12 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 </w:t>
      </w:r>
      <w:hyperlink r:id="rId63" w:anchor="/document/99/901756021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постановлением Правительства Российской Федерации от 25.02.2000 № 163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(Собрание законодательства Российской Федерации, 2000, № Ю, ст. 1131; 2001, № 26, ст. 2685; 2011, № 26, ст. 3803).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 В образовательных организациях высшего образования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пунктов 3.4, 3.5, 3.9, 3.6 Правил.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 эпидемиологического надзора о планируемых сроках заездов детей, режиме работы и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целях профилактики клещевого энцефалита, клещевого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боррелиоза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акарицидную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13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Указанные сведения вносятся в справку не ранее чем за 3 рабочих дня до отъезда.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vertAlign w:val="superscript"/>
          <w:lang w:eastAsia="ru-RU"/>
        </w:rPr>
        <w:t>13 </w:t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форма № 079/у «Медицинская справка о состоянии здоровья ребенка, отъезжающего в организацию отдыха детей и их оздоровления» утверждена </w:t>
      </w:r>
      <w:hyperlink r:id="rId64" w:anchor="/document/99/42024540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приказом Минздрава России от 15.12.2014 № 834н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России 20.02.2015, регистрационный № 36160) с изменениями, внесенными </w:t>
      </w:r>
      <w:hyperlink r:id="rId65" w:anchor="/document/99/542620432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приказами Минздрава России 09.01.2018 № 2н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04.04.2018, регистрационный №50614) и </w:t>
      </w:r>
      <w:hyperlink r:id="rId66" w:anchor="/document/99/566424215/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от 02.11.2020 № 1186н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(зарегистрирован Минюстом России от 27.11.2020, регистрационный № 61121).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для стирки белья могут быть оборудованы в отдельном помещении.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зданиях для проживания детей обеспечиваются условия для просушивания верхней одежды и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 оборудование в медицинском пункте или в изоляторе душевой (ванной комнаты).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Хозяйствующим субъектом обеспечивается освещение дорожек, ведущих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должна проводиться бесконтактная термометрия детей и сотрудников.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14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40395C" w:rsidRPr="00802BD5" w:rsidRDefault="0040395C" w:rsidP="00802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14 </w:t>
      </w:r>
      <w:hyperlink r:id="rId67" w:anchor="/document/99/901729631/XA00M9U2ND/" w:tooltip="[#101]" w:history="1">
        <w:r w:rsidRPr="00802BD5">
          <w:rPr>
            <w:rFonts w:ascii="Times New Roman" w:eastAsia="Times New Roman" w:hAnsi="Times New Roman" w:cs="Times New Roman"/>
            <w:color w:val="01745C"/>
            <w:lang w:eastAsia="ru-RU"/>
          </w:rPr>
          <w:t>Статья 29</w:t>
        </w:r>
      </w:hyperlink>
      <w:r w:rsidRPr="00802BD5">
        <w:rPr>
          <w:rFonts w:ascii="Times New Roman" w:eastAsia="Times New Roman" w:hAnsi="Times New Roman" w:cs="Times New Roman"/>
          <w:color w:val="222222"/>
          <w:lang w:eastAsia="ru-RU"/>
        </w:rPr>
        <w:t> 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2004, № 35, ст. 3607)</w:t>
      </w:r>
    </w:p>
    <w:p w:rsidR="000B1ED6" w:rsidRDefault="000B1ED6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 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 В палаточных лагерях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аккарицидная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обработка, мероприятия по борьбе с грызунами.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палаточному лагерю должен быть обеспечен подъезд транспорта.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3.13.3. Территория, на которой размещается палаточный лагерь, обозначается по периметру знаками.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 бытовая; административно-хозяйственная; физкультурно-оздоровительная.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2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темное время суток обеспечивается дежурное освещение тропинок, ведущих к туалетам.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 использоваться личные теплоизоляционные коврики, спальные мешки, вкладыши.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3.13.9. Организованная помывка детей должна проводиться не реже 1 раза в 7 календарных дней.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Мыльные воды должны проходить очистку через фильтр для улавливания мыльных вод.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3.13.15. Организация питания в палаточных лагерях осуществляется в соответствии с абзацами вторым - четвертым, десятым пункта 2.4.6 Правил и санитарно-эпидемиологическими требованиями к организации общественного питания населения.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 В организациях труда и отдыха (полевой практики)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должны работать в головных уборах.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3.14.2. Запрещается труд детей после 20:00 часов.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 3.10, 3.11, 3.12 Правил 3.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</w:t>
      </w: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дератизационных</w:t>
      </w:r>
      <w:proofErr w:type="spellEnd"/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Организаторами поездок организованных групп детей железнодорожным транспортом: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питание организованных групп детей с интервалами не более 4 часов;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При нахождении в пути свыше 1 дня организуется горячее питание.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Кратность приема пищи определяется временем нахождения групп детей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пути следования, времени суток и в соответствии с физиологическими потребностями.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или фамилия, имя, отчество (при наличии) организатора отдыха групп детей;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местонахождения организатора;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выезда, станция отправления и назначения, номер поезда и вагона, его вид;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детей и сопровождающих;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медицинского сопровождения;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и адрес конечного пункта назначения;</w:t>
      </w:r>
    </w:p>
    <w:p w:rsidR="0040395C" w:rsidRPr="0040395C" w:rsidRDefault="0040395C" w:rsidP="00802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39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планируемый тип питания в пути следования.</w:t>
      </w:r>
    </w:p>
    <w:p w:rsidR="00A712C6" w:rsidRPr="0040395C" w:rsidRDefault="0040395C" w:rsidP="00802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9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712C6" w:rsidRPr="0040395C" w:rsidSect="003737E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C13DC"/>
    <w:multiLevelType w:val="multilevel"/>
    <w:tmpl w:val="2AA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395C"/>
    <w:rsid w:val="000B1ED6"/>
    <w:rsid w:val="00166D2B"/>
    <w:rsid w:val="002F6449"/>
    <w:rsid w:val="0033399A"/>
    <w:rsid w:val="003737EA"/>
    <w:rsid w:val="0040395C"/>
    <w:rsid w:val="00802BD5"/>
    <w:rsid w:val="00A712C6"/>
    <w:rsid w:val="00C543B0"/>
    <w:rsid w:val="00D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EEAE"/>
  <w15:docId w15:val="{1DF63002-129B-410F-9E4C-BDADA80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B0"/>
  </w:style>
  <w:style w:type="paragraph" w:styleId="1">
    <w:name w:val="heading 1"/>
    <w:basedOn w:val="a"/>
    <w:link w:val="10"/>
    <w:uiPriority w:val="9"/>
    <w:qFormat/>
    <w:rsid w:val="0040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481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010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48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8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22055</Words>
  <Characters>125720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 Анатолий Григорьевич</dc:creator>
  <cp:lastModifiedBy>Чебурашка</cp:lastModifiedBy>
  <cp:revision>4</cp:revision>
  <cp:lastPrinted>2021-01-22T11:05:00Z</cp:lastPrinted>
  <dcterms:created xsi:type="dcterms:W3CDTF">2021-01-22T11:06:00Z</dcterms:created>
  <dcterms:modified xsi:type="dcterms:W3CDTF">2022-06-08T06:44:00Z</dcterms:modified>
</cp:coreProperties>
</file>